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9634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79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838" w:type="dxa"/>
            <w:vMerge w:val="restart"/>
          </w:tcPr>
          <w:p>
            <w:pPr>
              <w:spacing w:after="0"/>
              <w:jc w:val="center"/>
            </w:pPr>
            <w:r>
              <w:rPr>
                <w:lang w:eastAsia="en-IN"/>
              </w:rPr>
              <w:drawing>
                <wp:inline distT="0" distB="0" distL="0" distR="0">
                  <wp:extent cx="1029970" cy="981075"/>
                  <wp:effectExtent l="0" t="0" r="0" b="0"/>
                  <wp:docPr id="3" name="Picture 3" descr="C:\Users\staff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staff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759" t="7469" r="4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852" cy="1011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 </w:t>
            </w:r>
          </w:p>
        </w:tc>
        <w:tc>
          <w:tcPr>
            <w:tcW w:w="7796" w:type="dxa"/>
          </w:tcPr>
          <w:p>
            <w:pPr>
              <w:tabs>
                <w:tab w:val="left" w:pos="2748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GIET MAIN CAMPUS AUTONOMOUS GUNUPUR – 765022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838" w:type="dxa"/>
            <w:vMerge w:val="continue"/>
          </w:tcPr>
          <w:p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96" w:type="dxa"/>
          </w:tcPr>
          <w:p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B. Tech Degree Examinations, April / May – 2021</w:t>
            </w:r>
          </w:p>
          <w:p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(Sixth Semester)</w:t>
            </w:r>
          </w:p>
          <w:p>
            <w:pPr>
              <w:spacing w:after="0" w:line="240" w:lineRule="auto"/>
              <w:ind w:firstLine="2281" w:firstLineChars="950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BBTPC6020</w:t>
            </w:r>
            <w:r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Bioinformatics</w:t>
            </w:r>
          </w:p>
          <w:p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>
              <w:rPr>
                <w:rFonts w:hint="default" w:ascii="Book Antiqua" w:hAnsi="Book Antiqua"/>
                <w:sz w:val="24"/>
                <w:szCs w:val="24"/>
                <w:lang w:val="en-GB"/>
              </w:rPr>
              <w:t>Biotechnology</w:t>
            </w:r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634" w:type="dxa"/>
            <w:gridSpan w:val="2"/>
          </w:tcPr>
          <w:p>
            <w:pPr>
              <w:spacing w:after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Time: 3 hrs                                                                                                                    Maximum: 100 Marks</w:t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Answer ALL Questions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</w:rPr>
        <w:t>The figures in the right hand margin indicate marks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– A: (Multiple Choice Questions)                                                             (2 x 10 = 20 Marks)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3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875"/>
        <w:gridCol w:w="3977"/>
        <w:gridCol w:w="85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69" w:type="pct"/>
            <w:gridSpan w:val="3"/>
          </w:tcPr>
          <w:p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Q.1.  Answer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ALL </w:t>
            </w:r>
            <w:r>
              <w:rPr>
                <w:rFonts w:ascii="Times New Roman" w:hAnsi="Times New Roman" w:cs="Times New Roman"/>
                <w:u w:val="single"/>
              </w:rPr>
              <w:t>questions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[CO#]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[PO#]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Secondary structures prediction of proteins using statistical analysis is proposed by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1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GCR</w:t>
            </w:r>
          </w:p>
        </w:tc>
        <w:tc>
          <w:tcPr>
            <w:tcW w:w="1977" w:type="pc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(ii)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Barton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Rost and Sandor</w:t>
            </w:r>
          </w:p>
        </w:tc>
        <w:tc>
          <w:tcPr>
            <w:tcW w:w="1977" w:type="pc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(iv)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Chou-Fasman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GB"/>
              </w:rPr>
              <w:t>How many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best global alignments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GB"/>
              </w:rPr>
              <w:t xml:space="preserve">is possible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between sequences AAAC and AGC, where the scoring scheme is +1 for match, -1 for mismatch and -2 for an alignment with a gap.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2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2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2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2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GB"/>
              </w:rPr>
              <w:t xml:space="preserve">_________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database consists of documentation entries describing protein domains, families and functional sites as well as associated patterns and profiles to identify them.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3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PROSITE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3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Golden path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3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OMIM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3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Gene cards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Style w:val="12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Which of the following sets contains all aromatic residues?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4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G, D, N, E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4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I, V, L, M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4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R, K, H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4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F, Y, W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___________ is a web-based program that combines neural network with multiple sequence alignment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5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PSI PRED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5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PHD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5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Protparam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5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pfam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SSAP automatic structural alignment programme classifies the protein in _________ database.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6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GB"/>
              </w:rPr>
              <w:t>SCOP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6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CATH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6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GB"/>
              </w:rPr>
              <w:t>PDBSum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6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PDBeFold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In a protein sequence alignment, _________ refers to the percentage of matches of the same amino acid residues between two aligned sequences.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7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sequence identity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7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sequence homology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7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sequence similarity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7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sequence non homology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On average, what is the length of a typical domain?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8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About 100 residues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8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About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>2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00 residues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8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About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>5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00 residues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8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About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>9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00 residues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The term sequence _______ which is the similar at same position of same amino acid along with similar in physiochemical properties such as size, charge, and hydrophobicity.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9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Identity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9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Similarity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9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Homology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9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Xenology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3902" w:type="pct"/>
            <w:gridSpan w:val="2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Pharmacologically inactive compounds are called __________.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numPr>
                <w:ilvl w:val="0"/>
                <w:numId w:val="10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Prodrug</w:t>
            </w:r>
          </w:p>
        </w:tc>
        <w:tc>
          <w:tcPr>
            <w:tcW w:w="1977" w:type="pc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(ii)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Predrug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" w:type="pct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6" w:type="pct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(iii)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 xml:space="preserve"> Postdrug</w:t>
            </w:r>
          </w:p>
        </w:tc>
        <w:tc>
          <w:tcPr>
            <w:tcW w:w="1977" w:type="pct"/>
          </w:tcPr>
          <w:p>
            <w:pPr>
              <w:numPr>
                <w:ilvl w:val="0"/>
                <w:numId w:val="4"/>
              </w:numPr>
              <w:spacing w:after="0" w:line="276" w:lineRule="auto"/>
              <w:ind w:left="110" w:leftChars="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Biodrug</w:t>
            </w:r>
          </w:p>
        </w:tc>
        <w:tc>
          <w:tcPr>
            <w:tcW w:w="423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– B: (Short Answer Questions)                                                   (2 x 10 = 20 Marks)</w:t>
      </w:r>
    </w:p>
    <w:tbl>
      <w:tblPr>
        <w:tblStyle w:val="13"/>
        <w:tblpPr w:leftFromText="180" w:rightFromText="180" w:vertAnchor="text" w:horzAnchor="margin" w:tblpXSpec="center" w:tblpY="179"/>
        <w:tblW w:w="10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251"/>
        <w:gridCol w:w="1085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2" w:type="dxa"/>
            <w:gridSpan w:val="2"/>
          </w:tcPr>
          <w:p>
            <w:pPr>
              <w:spacing w:after="0" w:line="360" w:lineRule="auto"/>
            </w:pPr>
            <w:r>
              <w:rPr>
                <w:rFonts w:ascii="Times New Roman" w:hAnsi="Times New Roman" w:cs="Times New Roman"/>
                <w:u w:val="single"/>
              </w:rPr>
              <w:t xml:space="preserve">Q.2. Answer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  <w:u w:val="single"/>
              </w:rPr>
              <w:t xml:space="preserve"> questions</w:t>
            </w:r>
          </w:p>
        </w:tc>
        <w:tc>
          <w:tcPr>
            <w:tcW w:w="1085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[CO#]</w:t>
            </w:r>
          </w:p>
        </w:tc>
        <w:tc>
          <w:tcPr>
            <w:tcW w:w="868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[PO#]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Describe the uniqueness of  Neural Network in protein structure prediction.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aps w:val="0"/>
                <w:color w:val="2E2E2E"/>
                <w:spacing w:val="0"/>
                <w:sz w:val="24"/>
                <w:szCs w:val="24"/>
              </w:rPr>
              <w:t>Neural networks are used for the prediction of turn, prediction of surface exposure of amino acids, prediction of disulfide bonding state of cysteines, and prediction of backbone distance constraints.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82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GB" w:eastAsia="zh-CN" w:bidi="ar"/>
              </w:rPr>
              <w:t xml:space="preserve">Mention </w:t>
            </w:r>
            <w:r>
              <w:rPr>
                <w:rFonts w:hint="default" w:ascii="Times New Roman" w:hAnsi="Times New Roman" w:eastAsia="Cambria" w:cs="Times New Roman"/>
                <w:b/>
                <w:bCs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the applications of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instrText xml:space="preserve"> HYPERLINK "https://en.wikipedia.org/wiki/Needleman%E2%80%93Wunsch_algorithm"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Needleman–Wunsch algorithm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The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Needleman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–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Wunsch algorithm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is 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 xml:space="preserve"> global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algorithm used in bioinformatics to align protein or nucleotide sequences.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825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textAlignment w:val="auto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121"/>
                <w:spacing w:val="0"/>
                <w:sz w:val="24"/>
                <w:szCs w:val="2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egoe UI" w:cs="Times New Roman"/>
                <w:b/>
                <w:bCs/>
                <w:i w:val="0"/>
                <w:iCs w:val="0"/>
                <w:caps w:val="0"/>
                <w:color w:val="212121"/>
                <w:spacing w:val="0"/>
                <w:sz w:val="24"/>
                <w:szCs w:val="24"/>
                <w:shd w:val="clear" w:fill="FFFFFF"/>
                <w:lang w:val="en-GB"/>
              </w:rPr>
              <w:t xml:space="preserve">Decipher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121"/>
                <w:spacing w:val="0"/>
                <w:sz w:val="24"/>
                <w:szCs w:val="24"/>
                <w:shd w:val="clear" w:fill="FFFFFF"/>
                <w:lang w:val="en-GB"/>
              </w:rPr>
              <w:t xml:space="preserve"> the role of </w:t>
            </w:r>
            <w:r>
              <w:rPr>
                <w:rFonts w:hint="default" w:ascii="Times New Roman" w:hAnsi="Times New Roman" w:eastAsia="Georgia" w:cs="Times New Roman"/>
                <w:b/>
                <w:bCs/>
                <w:i w:val="0"/>
                <w:iCs w:val="0"/>
                <w:caps w:val="0"/>
                <w:color w:val="212121"/>
                <w:spacing w:val="0"/>
                <w:sz w:val="24"/>
                <w:szCs w:val="24"/>
                <w:shd w:val="clear" w:fill="FFFFFF"/>
              </w:rPr>
              <w:t>Hybridoma Data Bank </w:t>
            </w:r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Style w:val="17"/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212121"/>
                <w:spacing w:val="0"/>
                <w:sz w:val="24"/>
                <w:szCs w:val="24"/>
                <w:shd w:val="clear" w:fill="FFFFFF"/>
              </w:rPr>
              <w:t>HDB describes the development, isotype, specificity, applications, availability and literature citations for an individual monoclonal antibody. 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>What is the need of protein structure prediction in elucidating functions of proteins ?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T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he structural predictions can help to identify the spatial locations of functionally important residues, such as active sites and the sites of disease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In protein secondary structure prediction various methods are used. Out of these two methods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Chou &amp; Fasman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  <w:t xml:space="preserve"> and PHD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which one is good and why?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Chou &amp; Fasman 50%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GB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Single sequence, single residuum methods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PHD 71%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GB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Multiple sequence methods</w:t>
            </w:r>
          </w:p>
          <w:p>
            <w:pPr>
              <w:spacing w:after="0" w:line="276" w:lineRule="auto"/>
              <w:jc w:val="both"/>
              <w:rPr>
                <w:rFonts w:hint="default" w:ascii="Arial" w:hAnsi="Arial" w:eastAsia="SimSun" w:cs="Arial"/>
                <w:i w:val="0"/>
                <w:iCs w:val="0"/>
                <w:caps w:val="0"/>
                <w:color w:val="202124"/>
                <w:spacing w:val="0"/>
                <w:sz w:val="16"/>
                <w:szCs w:val="16"/>
                <w:shd w:val="clear" w:fill="FFFFFF"/>
                <w:lang w:val="en-GB"/>
              </w:rPr>
            </w:pP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What does R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CSB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 xml:space="preserve"> PDB stand for?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 What does it contain ?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RCSB PDB (Research Collaboratory for Structural Bioinformatics P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rotein Data Bank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)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. It is a primary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database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 of structural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proteins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.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How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Hidden-Markov model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  <w:t xml:space="preserve"> is used in building protein structures using PDB.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Hidden Markov models were built for a representative set of just over one thousand structures from the Protein Data Bank (pdb)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GB"/>
              </w:rPr>
              <w:t xml:space="preserve">Elucidate the contents of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European ribosomal RNA database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GB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This database compiles all complete or nearly complete SSU (small subunit) and LSU (large subunit) ribosomal RNA sequences. Sequences are provided in aligned format. 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Explain the role of protein structure in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Drug Designing.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Protein structures are now used routinely at several points in the drug development process, from assessing the 'druggability' of a target through initial hit identification and design, to checking for potential off-target effects.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</w:t>
            </w:r>
          </w:p>
        </w:tc>
        <w:tc>
          <w:tcPr>
            <w:tcW w:w="8251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List the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 xml:space="preserve">factors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which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are important in a ligand binding to a protein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Hydrogen bonds and lipophilic contacts are the most important contributions to protein-ligand interactions. They are governed by changes in entropy and enthalpy. </w:t>
            </w:r>
          </w:p>
        </w:tc>
        <w:tc>
          <w:tcPr>
            <w:tcW w:w="1085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68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– C: (Long Answer Questions)                                                     (15 x 4 = 60 Marks)</w:t>
      </w:r>
    </w:p>
    <w:p>
      <w:pPr>
        <w:spacing w:after="0" w:line="240" w:lineRule="auto"/>
      </w:pPr>
    </w:p>
    <w:tbl>
      <w:tblPr>
        <w:tblStyle w:val="13"/>
        <w:tblW w:w="10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982"/>
        <w:gridCol w:w="701"/>
        <w:gridCol w:w="80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5" w:type="dxa"/>
            <w:gridSpan w:val="2"/>
          </w:tcPr>
          <w:p>
            <w:pPr>
              <w:spacing w:after="0" w:line="360" w:lineRule="auto"/>
            </w:pPr>
            <w:r>
              <w:rPr>
                <w:rFonts w:ascii="Times New Roman" w:hAnsi="Times New Roman" w:cs="Times New Roman"/>
                <w:u w:val="single"/>
              </w:rPr>
              <w:t xml:space="preserve">Answer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  <w:u w:val="single"/>
              </w:rPr>
              <w:t xml:space="preserve"> questions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Marks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[CO#]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[PO#]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a.</w:t>
            </w:r>
          </w:p>
        </w:tc>
        <w:tc>
          <w:tcPr>
            <w:tcW w:w="798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Elucidate the characteristics and classification of biological database.</w:t>
            </w:r>
          </w:p>
          <w:p>
            <w:pPr>
              <w:spacing w:after="0" w:line="240" w:lineRule="auto"/>
              <w:ind w:left="0" w:leftChars="0" w:firstLine="0" w:firstLineChars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Bioinformatics Databases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Submitter decides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-primary databases (archives, repositories)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Database decides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- secondary databases (curated)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Parallel versions of databases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firstLine="0" w:firstLineChars="0"/>
              <w:textAlignment w:val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International bioinformatics institutions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History of major bioinformatics databases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Distinction between primary and secondary Databases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>Main bioinformatic institutes hosting databases and servers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982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0"/>
                <w:tab w:val="left" w:pos="90"/>
                <w:tab w:val="left" w:pos="630"/>
              </w:tabs>
              <w:rPr>
                <w:rFonts w:hint="default" w:cs="Times New Roman"/>
                <w:color w:val="auto"/>
                <w:lang w:val="en-GB"/>
              </w:rPr>
            </w:pPr>
            <w:r>
              <w:rPr>
                <w:rFonts w:hint="default" w:cs="Times New Roman"/>
                <w:b/>
                <w:bCs/>
                <w:color w:val="auto"/>
                <w:lang w:val="en-GB"/>
              </w:rPr>
              <w:t xml:space="preserve">Illustrate the role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EMBL nucleotide sequence data bank</w:t>
            </w:r>
            <w:r>
              <w:rPr>
                <w:rFonts w:hint="default" w:cs="Times New Roman"/>
                <w:b/>
                <w:bCs/>
                <w:color w:val="auto"/>
                <w:lang w:val="en-GB"/>
              </w:rPr>
              <w:t xml:space="preserve"> in bioinformatics.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84" w:afterAutospacing="0" w:line="15" w:lineRule="atLeast"/>
              <w:ind w:left="0" w:right="0" w:firstLine="0"/>
              <w:jc w:val="both"/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The EMBL Nucleotide Sequence Database at the EMBL European Bioinformatics Institute, UK, offers a large and freely accessible collection of 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"https://www.sciencedirect.com/topics/biochemistry-genetics-and-molecular-biology/nucleotide" \o "Learn more about Nucleotide from ScienceDirect's AI-generated Topic Pages" </w:instrTex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nucleotide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 sequences and accompanying annotation. The database is maintained in collaboration with DDBJ and GenBank (Kulikova </w:t>
            </w:r>
            <w:r>
              <w:rPr>
                <w:rStyle w:val="7"/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et al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., 2007). The flatfile format used by the EMBL to represent database records for nucleotide and peptide sequences from EMBL database (Stoesser </w:t>
            </w:r>
            <w:r>
              <w:rPr>
                <w:rStyle w:val="7"/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et al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., 2002). The EMBL flat file comprises of a series of strictly controlled line types presented in a tabular manner and consisting of four major blocks of data: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Descriptions and identifiers.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Citations: citation details of the associated publications and the name and contact details of the original submitter.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Features: detailed source information, biological features comprised of feature locations, feature qualifiers, etc.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cs="Times New Roman"/>
                <w:color w:val="auto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•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Sequence: total sequence length, base composition (SQ) and sequence.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(OR)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Explain the significance, objectives, URLs, data formats of primary DNA database in detail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databases (archives, repositories)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- takes information directly from the experimental 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laboratory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information can be wrong (coding table, protein names, wrong 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field)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errors will be passed on to all other db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tendency for redundancy (repeating information)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informations are owned by submitter with proviledge to 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 data and record</w:t>
            </w:r>
          </w:p>
          <w:p>
            <w:pPr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drawing>
                <wp:inline distT="0" distB="0" distL="114300" distR="114300">
                  <wp:extent cx="4115435" cy="2486660"/>
                  <wp:effectExtent l="0" t="0" r="12065" b="254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435" cy="248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798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Cambria" w:cs="Times New Roman"/>
                <w:b/>
                <w:bCs/>
                <w:color w:val="222222"/>
                <w:kern w:val="0"/>
                <w:sz w:val="24"/>
                <w:szCs w:val="24"/>
                <w:lang w:val="en-GB" w:eastAsia="zh-CN" w:bidi="ar"/>
              </w:rPr>
              <w:t>Describe in detail</w:t>
            </w:r>
            <w:r>
              <w:rPr>
                <w:rFonts w:hint="default" w:ascii="Times New Roman" w:hAnsi="Times New Roman" w:eastAsia="Cambria" w:cs="Times New Roman"/>
                <w:b/>
                <w:bCs/>
                <w:color w:val="222222"/>
                <w:kern w:val="0"/>
                <w:sz w:val="24"/>
                <w:szCs w:val="24"/>
                <w:lang w:val="en-US" w:eastAsia="zh-CN" w:bidi="ar"/>
              </w:rPr>
              <w:t xml:space="preserve"> the types of data organized by KEGG</w:t>
            </w:r>
            <w:r>
              <w:rPr>
                <w:rFonts w:hint="default" w:ascii="Times New Roman" w:hAnsi="Times New Roman" w:eastAsia="Cambria" w:cs="Times New Roman"/>
                <w:b/>
                <w:bCs/>
                <w:color w:val="222222"/>
                <w:kern w:val="0"/>
                <w:sz w:val="24"/>
                <w:szCs w:val="24"/>
                <w:lang w:val="en-GB" w:eastAsia="zh-CN" w:bidi="ar"/>
              </w:rPr>
              <w:t xml:space="preserve"> and its importance.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mbria" w:cs="Times New Roman"/>
                <w:color w:val="222222"/>
                <w:kern w:val="0"/>
                <w:sz w:val="24"/>
                <w:szCs w:val="24"/>
                <w:lang w:val="en-US" w:eastAsia="zh-CN" w:bidi="ar"/>
              </w:rPr>
              <w:t>It is an ontology database containing hierarchical classifications of various entities including</w:t>
            </w:r>
            <w:r>
              <w:rPr>
                <w:rFonts w:hint="default" w:ascii="Times New Roman" w:hAnsi="Times New Roman" w:eastAsia="Cambria" w:cs="Times New Roman"/>
                <w:color w:val="222222"/>
                <w:kern w:val="0"/>
                <w:sz w:val="24"/>
                <w:szCs w:val="24"/>
                <w:lang w:val="en-GB" w:eastAsia="zh-CN" w:bidi="ar"/>
              </w:rPr>
              <w:t xml:space="preserve"> </w:t>
            </w:r>
            <w:r>
              <w:rPr>
                <w:rFonts w:hint="default" w:ascii="Times New Roman" w:hAnsi="Times New Roman" w:eastAsia="Cambria" w:cs="Times New Roman"/>
                <w:color w:val="222222"/>
                <w:kern w:val="0"/>
                <w:sz w:val="24"/>
                <w:szCs w:val="24"/>
                <w:lang w:val="en-US" w:eastAsia="zh-CN" w:bidi="ar"/>
              </w:rPr>
              <w:t>genes, proteins, organisms, diseases, drugs, and chemical compounds</w:t>
            </w:r>
            <w:r>
              <w:rPr>
                <w:rFonts w:hint="default" w:ascii="Times New Roman" w:hAnsi="Times New Roman" w:eastAsia="Cambria" w:cs="Times New Roman"/>
                <w:color w:val="222222"/>
                <w:kern w:val="0"/>
                <w:sz w:val="24"/>
                <w:szCs w:val="24"/>
                <w:lang w:val="en-GB" w:eastAsia="zh-CN" w:bidi="ar"/>
              </w:rPr>
              <w:t>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a.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</w:rPr>
              <w:t>Explain the working of BLAST based on your knowledge of sequence alignment.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BLAST Procedure 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This is the common procedure for any BLAST program.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Step 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 Select the BLAST program.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Step 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 Enter a query sequence or upload a file containing sequence.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Step 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 Select the database to search.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Step 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 Select the algorithm and the parameters of the algorithm for the search.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Step 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: Run the BLAST program.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SimSun" w:hAnsi="SimSun" w:eastAsia="SimSun" w:cs="SimSu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</w:rPr>
              <w:t>BLAST can be used for several purposes. These include identifying species, locating domains, establishing phylogeny, DNA mapping, and comparison.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 w:val="0"/>
                <w:sz w:val="24"/>
                <w:szCs w:val="24"/>
                <w:lang w:val="en-GB"/>
              </w:rPr>
              <w:t>Interpret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 the concept of scoring matrices for aligning amino acid sequences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hint="default" w:ascii="SimSun" w:hAnsi="SimSun" w:eastAsia="SimSun" w:cs="SimSu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Scoring matrices are used to determine the relative score made by matching two characters in a sequence alignment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  <w:lang w:val="en-GB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There are many flavors of scoring matrices for amino acid sequences, nucleotide sequences, and codon sequences, and each is derived from the alignment of "known" homologous sequences.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(OR)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982" w:type="dxa"/>
          </w:tcPr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Perform the Smith Watterman algorithm for the following sequences by Dynamic programming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Seq #1   TGAATTC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Seq #2   GATTC and the scoring rules are Match = 1, Mismatch = -2 and Gap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penality = -2.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Matrix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Tracing back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sequence alignment is </w:t>
            </w:r>
          </w:p>
          <w:p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TGAATTC</w:t>
            </w:r>
          </w:p>
          <w:p>
            <w:pPr>
              <w:spacing w:after="0" w:line="240" w:lineRule="auto"/>
              <w:ind w:left="36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GA -TTC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“Altering the gap penality increases 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alignment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the sequence”. Justify the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statement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Gap penalty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is a method of scoring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alignments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of two or more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sequences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 When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aligning sequences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, introducing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gaps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in the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sequences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can allow an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alignment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algorithm to match more terms than a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gap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-less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>alignment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 xml:space="preserve">. 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Gap penalties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are used to adjust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alignment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scores based on the number and length of </w:t>
            </w:r>
            <w:r>
              <w:rPr>
                <w:rStyle w:val="7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gaps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a.</w:t>
            </w:r>
          </w:p>
        </w:tc>
        <w:tc>
          <w:tcPr>
            <w:tcW w:w="798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76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What are Hidden Markov models? Explain how they are used to identify profiles in a protein sequence.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firstLine="72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Hidden Markov models (4 marks)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ab/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Hidden markov model is statistical tool for an ordered sequence of symbols, acting as a stochastic state machine that generates symbol each time a transition made from one state to the next.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Identify Profiles in a Protein Sequence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firstLine="72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Standard Profile HMM Architecture (4 marks)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firstLine="36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Diagram (2marks)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firstLine="36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Three types of states: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1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Match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1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Insert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1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Delete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One delete and one match per position in model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One insert per transition in model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Start and end “dummy” states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Aligning and Training HMMs (4 marks)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Training from a Multiple Alignment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Aligning a sequence to a model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Training from unaligned sequences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Protein Structure Determination (2 marks)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  <w:t>I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</w:rPr>
              <w:t xml:space="preserve">n addition to the protein sequence, secondary structure formation depends on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  <w:t xml:space="preserve">many factors. Mention the factors and its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  <w:t>importance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  <w:t>.</w:t>
            </w:r>
          </w:p>
          <w:p>
            <w:pPr>
              <w:spacing w:after="0" w:line="276" w:lineRule="auto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14"/>
                <w:szCs w:val="1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  <w:lang w:val="en-GB"/>
              </w:rPr>
              <w:t>S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02122"/>
                <w:spacing w:val="0"/>
                <w:sz w:val="24"/>
                <w:szCs w:val="24"/>
                <w:shd w:val="clear" w:fill="FFFFFF"/>
              </w:rPr>
              <w:t>econdary structure tendencies depend also on local environment, solvent accessibility of residues, protein structural class, and even the organism from which the proteins are obtained.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(OR)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Explain the Chou-fasman secondary structure prediction method.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  <w:t xml:space="preserve"> Detail about the algorithm.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The Chou–Fasman method is an empirical technique for the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"https://en.wikipedia.org/wiki/Protein_structure_prediction" \l "Tertiary_Structure" \o "Protein structure prediction"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prediction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of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"https://en.wikipedia.org/wiki/Tertiary_structure" \o "Tertiary structure"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tertiary structures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in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"https://en.wikipedia.org/wiki/Protein" \o "Protein"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proteins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, originally developed in the 1970s by Peter Y. Chou and Gerald D. Fasman. The method is based on analyses of the relative frequencies of each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"https://en.wikipedia.org/wiki/Amino_acid" \o "Amino acid"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amino acid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in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"https://en.wikipedia.org/wiki/Alpha_helix" \o "Alpha helix"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alpha helices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,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"https://en.wikipedia.org/wiki/Beta_sheet" \o "Beta sheet"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beta sheets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, and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"https://en.wikipedia.org/wiki/Turn_(biochemistry)" \o "Turn (biochemistry)"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turns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based on known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"https://en.wikipedia.org/wiki/Tertiary_structure" \o "Tertiary structure"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protein structures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solved with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"https://en.wikipedia.org/wiki/X-ray_crystallography" \o "X-ray crystallography"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X-ray crystallography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. From these frequencies a set of probability parameters were derived for the appearance of each amino acid in each secondary structure type, and these parameters are used to predict the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"https://en.wikipedia.org/wiki/Probability" \o "Probability"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probability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that a given sequence of amino acids would form a helix, a beta strand, or a turn in a protein. The method is at most about 50–60% accurate in identifying correct secondary structures, which is significantly less accurate than the modern 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"https://en.wikipedia.org/wiki/Machine_learning" \o "Machine learning" </w:instrTex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machine learning</w:t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–based techniques</w:t>
            </w:r>
          </w:p>
          <w:p>
            <w:pPr>
              <w:spacing w:after="0" w:line="276" w:lineRule="auto"/>
              <w:jc w:val="both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202122"/>
                <w:spacing w:val="0"/>
                <w:sz w:val="14"/>
                <w:szCs w:val="14"/>
                <w:shd w:val="clear" w:fill="FFFFFF"/>
                <w:lang w:val="en-GB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GB"/>
              </w:rPr>
              <w:t>Describe the algorithm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Describe why membrane proteins structures are predicted mostly compared to that of globular protein structure.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Membrane protein are very difficult to crystallize. Hence it is difficult to elucidate the structure. Hence structure prediction is mainly used to ascertain the structure.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a.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Summarize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why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Protein folding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plays an important role in biotechnology.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202124"/>
                <w:spacing w:val="0"/>
                <w:sz w:val="24"/>
                <w:szCs w:val="24"/>
                <w:shd w:val="clear" w:fill="FFFFFF"/>
              </w:rPr>
              <w:t>Protein folding occurs in a cellular compartment called the endoplasmic reticulum. This is a vital cellular process because proteins must be correctly folded into specific, three-dimensional shapes in order to function correctly. Unfolded or misfolded proteins contribute to the pathology of many diseases.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left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GB"/>
              </w:rPr>
              <w:t xml:space="preserve">Describe the role of molecular docking and molecular dynamics in structure based drug design.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drawing>
                <wp:inline distT="0" distB="0" distL="114300" distR="114300">
                  <wp:extent cx="4539615" cy="2172970"/>
                  <wp:effectExtent l="0" t="0" r="6985" b="1143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615" cy="217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82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(OR)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TIXGeneral-Regular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TIXGeneral-Regular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Illustrate in detail how the fold </w:t>
            </w:r>
            <w:r>
              <w:rPr>
                <w:rFonts w:hint="default" w:ascii="Times New Roman" w:hAnsi="Times New Roman" w:eastAsia="STIXGeneral-Regular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lang w:val="en-GB"/>
              </w:rPr>
              <w:t>recognition</w:t>
            </w:r>
            <w:r>
              <w:rPr>
                <w:rFonts w:hint="default" w:ascii="Times New Roman" w:hAnsi="Times New Roman" w:eastAsia="STIXGeneral-Regular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GB"/>
              </w:rPr>
              <w:t xml:space="preserve"> and its library is very important in </w:t>
            </w:r>
            <w:r>
              <w:rPr>
                <w:rFonts w:hint="default" w:ascii="Times New Roman" w:hAnsi="Times New Roman" w:eastAsia="STIXGeneral-Regular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protein functional analysis and drug design.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TIXGeneral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TIXGeneral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Protein fold classification plays an important role in both protein functional analysis and drug design. The number of proteins in PDB is very large, but only a very small part is categorized and stored in the SCOPe database. Therefore, it is necessary to develop an efficient method for protein fold classification. 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TIXGeneral-Regular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Protein fold classes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are broad categories of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"https://en.wikipedia.org/wiki/Protein_tertiary_structure" \o "Protein tertiary structure"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protein tertiary structure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topology. They describe groups of proteins that share similar amino acid and secondary structure proportions. Each class contains multiple, independent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"https://en.wikipedia.org/wiki/Protein_superfamilies" \o "Protein superfamilies"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protein superfamilies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(i.e. are not necessarily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"https://en.wikipedia.org/wiki/Sequence_homology" \o "Sequence homology"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evolutionarily related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to one another)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3" w:type="dxa"/>
          </w:tcPr>
          <w:p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798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</w:rPr>
              <w:t xml:space="preserve">Explain the threading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  <w:lang w:val="en-GB"/>
              </w:rPr>
              <w:t>process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sz w:val="24"/>
                <w:szCs w:val="24"/>
              </w:rPr>
              <w:t xml:space="preserve"> for prediction protein three dimensional structures.</w:t>
            </w:r>
          </w:p>
          <w:p>
            <w:pPr>
              <w:spacing w:after="0" w:line="276" w:lineRule="auto"/>
              <w:jc w:val="both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The prediction is made by "threading" (i.e. placing, aligning) each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"https://en.wikipedia.org/wiki/Amino_acid" \o "Amino acid" </w:instrTex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amino acid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 in the target sequence to a position in the template structure, and evaluating how well the target fits the template. After the best-fit template is selected, the structural model of the sequence is built based on the alignment with the chosen template. Protein threading is based on two basic observations: that the number of different folds in nature is fairly small (approximately 1300); and that 90% of the new structures submitted to the PDB in the past three years have similar structural folds to ones already in the PDB</w:t>
            </w:r>
          </w:p>
        </w:tc>
        <w:tc>
          <w:tcPr>
            <w:tcW w:w="701" w:type="dxa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803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756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GB"/>
              </w:rPr>
              <w:t>1,2</w:t>
            </w:r>
          </w:p>
        </w:tc>
      </w:tr>
    </w:tbl>
    <w:p/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 End of Paper ---</w:t>
      </w:r>
    </w:p>
    <w:p/>
    <w:p/>
    <w:sectPr>
      <w:headerReference r:id="rId5" w:type="first"/>
      <w:footerReference r:id="rId6" w:type="default"/>
      <w:pgSz w:w="11906" w:h="16838"/>
      <w:pgMar w:top="851" w:right="851" w:bottom="851" w:left="1440" w:header="397" w:footer="39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TIXGeneral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282380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586"/>
      <w:gridCol w:w="2587"/>
      <w:gridCol w:w="4658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05" w:type="dxa"/>
        </w:tcPr>
        <w:p>
          <w:pPr>
            <w:pStyle w:val="9"/>
          </w:pPr>
          <w:r>
            <w:t>QPC:</w:t>
          </w:r>
        </w:p>
      </w:tc>
      <w:tc>
        <w:tcPr>
          <w:tcW w:w="3005" w:type="dxa"/>
        </w:tcPr>
        <w:p>
          <w:pPr>
            <w:pStyle w:val="9"/>
            <w:jc w:val="center"/>
          </w:pPr>
          <w:r>
            <w:rPr>
              <w:rFonts w:ascii="Times New Roman" w:hAnsi="Times New Roman" w:cs="Times New Roman"/>
              <w:sz w:val="32"/>
              <w:szCs w:val="32"/>
            </w:rPr>
            <w:t>AR - 18</w:t>
          </w:r>
        </w:p>
      </w:tc>
      <w:tc>
        <w:tcPr>
          <w:tcW w:w="3006" w:type="dxa"/>
        </w:tcPr>
        <w:tbl>
          <w:tblPr>
            <w:tblStyle w:val="13"/>
            <w:tblW w:w="4432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173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359" w:hRule="atLeast"/>
            </w:trPr>
            <w:tc>
              <w:tcPr>
                <w:tcW w:w="1173" w:type="dxa"/>
                <w:tcBorders>
                  <w:top w:val="nil"/>
                  <w:left w:val="nil"/>
                  <w:bottom w:val="nil"/>
                  <w:right w:val="single" w:color="auto" w:sz="4" w:space="0"/>
                </w:tcBorders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Reg. No. </w:t>
                </w:r>
              </w:p>
            </w:tc>
            <w:tc>
              <w:tcPr>
                <w:tcW w:w="325" w:type="dxa"/>
                <w:tcBorders>
                  <w:left w:val="single" w:color="auto" w:sz="4" w:space="0"/>
                </w:tcBorders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26" w:type="dxa"/>
              </w:tcPr>
              <w:p>
                <w:pPr>
                  <w:autoSpaceDE w:val="0"/>
                  <w:autoSpaceDN w:val="0"/>
                  <w:adjustRightInd w:val="0"/>
                  <w:spacing w:after="0"/>
                  <w:rPr>
                    <w:rFonts w:ascii="Times New Roman" w:hAnsi="Times New Roman" w:cs="Times New Roman"/>
                  </w:rPr>
                </w:pPr>
              </w:p>
            </w:tc>
          </w:tr>
        </w:tbl>
        <w:p>
          <w:pPr>
            <w:pStyle w:val="9"/>
          </w:pPr>
        </w:p>
      </w:tc>
    </w:tr>
  </w:tbl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9337F"/>
    <w:multiLevelType w:val="singleLevel"/>
    <w:tmpl w:val="8349337F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1">
    <w:nsid w:val="988DC3D3"/>
    <w:multiLevelType w:val="singleLevel"/>
    <w:tmpl w:val="988DC3D3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2">
    <w:nsid w:val="A8D0DCC6"/>
    <w:multiLevelType w:val="singleLevel"/>
    <w:tmpl w:val="A8D0DCC6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3">
    <w:nsid w:val="B8CF1FE4"/>
    <w:multiLevelType w:val="singleLevel"/>
    <w:tmpl w:val="B8CF1FE4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4">
    <w:nsid w:val="D2018F9E"/>
    <w:multiLevelType w:val="singleLevel"/>
    <w:tmpl w:val="D2018F9E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5">
    <w:nsid w:val="01D38C74"/>
    <w:multiLevelType w:val="singleLevel"/>
    <w:tmpl w:val="01D38C74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6">
    <w:nsid w:val="02CB4489"/>
    <w:multiLevelType w:val="singleLevel"/>
    <w:tmpl w:val="02CB4489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7">
    <w:nsid w:val="161557FE"/>
    <w:multiLevelType w:val="singleLevel"/>
    <w:tmpl w:val="161557FE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8">
    <w:nsid w:val="29AF5096"/>
    <w:multiLevelType w:val="multilevel"/>
    <w:tmpl w:val="29AF5096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210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AE8B32E"/>
    <w:multiLevelType w:val="singleLevel"/>
    <w:tmpl w:val="2AE8B32E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abstractNum w:abstractNumId="10">
    <w:nsid w:val="3FF678B7"/>
    <w:multiLevelType w:val="multilevel"/>
    <w:tmpl w:val="3FF678B7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357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5F0DE5C8"/>
    <w:multiLevelType w:val="singleLevel"/>
    <w:tmpl w:val="5F0DE5C8"/>
    <w:lvl w:ilvl="0" w:tentative="0">
      <w:start w:val="1"/>
      <w:numFmt w:val="lowerRoman"/>
      <w:suff w:val="space"/>
      <w:lvlText w:val="(%1)"/>
      <w:lvlJc w:val="left"/>
      <w:pPr>
        <w:ind w:left="110" w:leftChars="0" w:firstLine="0" w:firstLineChars="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6B"/>
    <w:rsid w:val="002A1D0E"/>
    <w:rsid w:val="002D082C"/>
    <w:rsid w:val="005075F5"/>
    <w:rsid w:val="00545C05"/>
    <w:rsid w:val="0060619A"/>
    <w:rsid w:val="00637151"/>
    <w:rsid w:val="006C636F"/>
    <w:rsid w:val="006E710B"/>
    <w:rsid w:val="0077312D"/>
    <w:rsid w:val="008661EB"/>
    <w:rsid w:val="00892504"/>
    <w:rsid w:val="008E3BD8"/>
    <w:rsid w:val="008E700D"/>
    <w:rsid w:val="00AC7D7B"/>
    <w:rsid w:val="00C0528B"/>
    <w:rsid w:val="00D04F34"/>
    <w:rsid w:val="00D43608"/>
    <w:rsid w:val="00D77FB7"/>
    <w:rsid w:val="00DC54AD"/>
    <w:rsid w:val="00DE6D82"/>
    <w:rsid w:val="00E274CA"/>
    <w:rsid w:val="00E83CD1"/>
    <w:rsid w:val="00F54CC8"/>
    <w:rsid w:val="00F5726B"/>
    <w:rsid w:val="00F72252"/>
    <w:rsid w:val="0E374F7E"/>
    <w:rsid w:val="173961AB"/>
    <w:rsid w:val="1E930863"/>
    <w:rsid w:val="2D202A6A"/>
    <w:rsid w:val="2F207C87"/>
    <w:rsid w:val="3DE446EF"/>
    <w:rsid w:val="464C7439"/>
    <w:rsid w:val="4A76239E"/>
    <w:rsid w:val="555E321D"/>
    <w:rsid w:val="571B25B6"/>
    <w:rsid w:val="5F68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head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10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2">
    <w:name w:val="Strong"/>
    <w:basedOn w:val="5"/>
    <w:qFormat/>
    <w:uiPriority w:val="22"/>
    <w:rPr>
      <w:b/>
      <w:bCs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er Char"/>
    <w:basedOn w:val="5"/>
    <w:link w:val="9"/>
    <w:qFormat/>
    <w:uiPriority w:val="99"/>
  </w:style>
  <w:style w:type="character" w:customStyle="1" w:styleId="15">
    <w:name w:val="Footer Char"/>
    <w:basedOn w:val="5"/>
    <w:link w:val="8"/>
    <w:qFormat/>
    <w:uiPriority w:val="99"/>
  </w:style>
  <w:style w:type="paragraph" w:styleId="16">
    <w:name w:val="No Spacing"/>
    <w:qFormat/>
    <w:uiPriority w:val="1"/>
    <w:pPr>
      <w:spacing w:afterAutospacing="1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2020-02-22T05:54:00Z</dcterms:created>
  <dc:creator>staff</dc:creator>
  <cp:lastModifiedBy>gowri shankar</cp:lastModifiedBy>
  <dcterms:modified xsi:type="dcterms:W3CDTF">2021-04-22T04:30:14Z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