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9C" w:rsidRDefault="00646B98">
      <w:r>
        <w:t>KEY to SET1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t xml:space="preserve">Q1. </w:t>
      </w:r>
      <w:proofErr w:type="gramStart"/>
      <w:r>
        <w:t>a</w:t>
      </w:r>
      <w:proofErr w:type="gramEnd"/>
      <w:r>
        <w:t xml:space="preserve">. </w:t>
      </w:r>
      <w:r w:rsidRPr="00122651">
        <w:rPr>
          <w:rFonts w:ascii="Times New Roman" w:hAnsi="Times New Roman" w:cs="Times New Roman"/>
          <w:b/>
        </w:rPr>
        <w:t>alkali halide</w:t>
      </w:r>
    </w:p>
    <w:p w:rsidR="0022288A" w:rsidRDefault="0022288A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122651">
        <w:rPr>
          <w:rFonts w:ascii="Times New Roman" w:hAnsi="Times New Roman" w:cs="Times New Roman"/>
          <w:b/>
        </w:rPr>
        <w:t>condenser lens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c. </w:t>
      </w:r>
      <w:r w:rsidRPr="00122651">
        <w:rPr>
          <w:rFonts w:ascii="Times New Roman" w:hAnsi="Times New Roman" w:cs="Times New Roman"/>
          <w:b/>
        </w:rPr>
        <w:t>400,000X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d. </w:t>
      </w:r>
      <w:r w:rsidRPr="00122651">
        <w:rPr>
          <w:rFonts w:ascii="Times New Roman" w:hAnsi="Times New Roman" w:cs="Times New Roman"/>
        </w:rPr>
        <w:t>Rate of migration is directly proportional to current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e. </w:t>
      </w:r>
      <w:r w:rsidRPr="003F4BD6">
        <w:rPr>
          <w:rFonts w:ascii="Times New Roman" w:hAnsi="Times New Roman" w:cs="Times New Roman"/>
          <w:b/>
        </w:rPr>
        <w:t>V / E</w:t>
      </w:r>
    </w:p>
    <w:p w:rsidR="0022288A" w:rsidRDefault="0022288A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f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r w:rsidRPr="003F4BD6">
        <w:rPr>
          <w:rFonts w:ascii="Times New Roman" w:hAnsi="Times New Roman" w:cs="Times New Roman"/>
          <w:b/>
        </w:rPr>
        <w:t>2200-2500 RPM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g. Paper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h. </w:t>
      </w:r>
      <w:r w:rsidRPr="00267C15">
        <w:rPr>
          <w:rFonts w:ascii="Times New Roman" w:hAnsi="Times New Roman" w:cs="Times New Roman"/>
          <w:b/>
        </w:rPr>
        <w:t>Self-absorption</w:t>
      </w:r>
    </w:p>
    <w:p w:rsidR="0022288A" w:rsidRDefault="0022288A">
      <w:pPr>
        <w:rPr>
          <w:rFonts w:ascii="Times New Roman" w:hAnsi="Times New Roman" w:cs="Times New Roman"/>
          <w:b/>
        </w:rPr>
      </w:pPr>
      <w:proofErr w:type="spellStart"/>
      <w:r>
        <w:t>i</w:t>
      </w:r>
      <w:proofErr w:type="spellEnd"/>
      <w:r>
        <w:t>.</w:t>
      </w:r>
      <w:r w:rsidRPr="0022288A">
        <w:rPr>
          <w:rFonts w:ascii="Times New Roman" w:hAnsi="Times New Roman" w:cs="Times New Roman"/>
          <w:b/>
        </w:rPr>
        <w:t xml:space="preserve"> </w:t>
      </w:r>
      <w:r w:rsidRPr="0097764F">
        <w:rPr>
          <w:rFonts w:ascii="Times New Roman" w:hAnsi="Times New Roman" w:cs="Times New Roman"/>
          <w:b/>
        </w:rPr>
        <w:t>Carbon-13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j. </w:t>
      </w:r>
      <w:r w:rsidRPr="00267C15">
        <w:rPr>
          <w:rFonts w:ascii="Times New Roman" w:hAnsi="Times New Roman" w:cs="Times New Roman"/>
          <w:b/>
        </w:rPr>
        <w:t>Infra red spectroscopy</w:t>
      </w:r>
    </w:p>
    <w:p w:rsidR="0022288A" w:rsidRDefault="00222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Q2. </w:t>
      </w:r>
    </w:p>
    <w:p w:rsidR="0022288A" w:rsidRPr="007D5F1E" w:rsidRDefault="0022288A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The </w:t>
      </w:r>
      <w:r w:rsidRPr="007D5F1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Beer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D5F1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Lambert law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states that there is a linear relationship between the concentration and the absorbance of the solution, which enables the concentration of a solution to be calculated by measuring its absorbance.</w:t>
      </w:r>
    </w:p>
    <w:p w:rsidR="0022288A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2288A"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eusable quartz </w:t>
      </w:r>
      <w:proofErr w:type="spellStart"/>
      <w:r w:rsidR="0022288A"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cuvettes</w:t>
      </w:r>
      <w:proofErr w:type="spellEnd"/>
      <w:r w:rsidR="0022288A"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were required for measurements in the ultraviolet range, because glass and most plastics absorb ultraviolet light, creating interference.</w:t>
      </w:r>
    </w:p>
    <w:p w:rsidR="0022288A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22288A"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he </w:t>
      </w:r>
      <w:r w:rsidR="0022288A"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chemical shift</w:t>
      </w:r>
      <w:r w:rsidR="0022288A"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is the resonant frequency of a nucleus relative to a standard in a magnetic field.</w:t>
      </w:r>
    </w:p>
    <w:p w:rsidR="0022288A" w:rsidRPr="007D5F1E" w:rsidRDefault="0022288A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eastAsia="Calibri" w:hAnsi="Times New Roman" w:cs="Times New Roman"/>
          <w:sz w:val="24"/>
          <w:szCs w:val="24"/>
          <w:lang w:val="pt-BR"/>
        </w:rPr>
        <w:t>Error prone PCR is a method by which random mutants maybe inserted into any piece of DNA. By carefully controlling the buffer composition the frequency of mis-incorporation of nucleotide bases,  and therefore the number of errors introduced into the sequence may be regulated. In directed evolution experiments, the substitution frequency is normally controlled at around 1 - 3 base pair substitutions per kilobase of DNA.</w:t>
      </w:r>
    </w:p>
    <w:p w:rsidR="0022288A" w:rsidRPr="007D5F1E" w:rsidRDefault="0022288A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Nondenaturing</w:t>
      </w:r>
      <w:proofErr w:type="spellEnd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PAGE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, also called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native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PAGE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, separates proteins according to their mass/charge ratio.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SDS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PAGE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separates proteins primarily by mass because the ionic detergent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SDS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denatures and binds to proteins to make them uniformly negatively charged.</w:t>
      </w:r>
    </w:p>
    <w:p w:rsidR="0022288A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Ethidium</w:t>
      </w:r>
      <w:proofErr w:type="spellEnd"/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bromide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(or </w:t>
      </w:r>
      <w:proofErr w:type="spellStart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homidium</w:t>
      </w:r>
      <w:proofErr w:type="spellEnd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bromide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chloride salt </w:t>
      </w:r>
      <w:proofErr w:type="spellStart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homidium</w:t>
      </w:r>
      <w:proofErr w:type="spellEnd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chloride) is an intercalating agent commonly used as a fluorescent tag (nucleic acid stain) in molecular biology laboratories for techniques such as </w:t>
      </w:r>
      <w:proofErr w:type="spellStart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agarose</w:t>
      </w:r>
      <w:proofErr w:type="spellEnd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electrophoresis.</w:t>
      </w:r>
    </w:p>
    <w:p w:rsidR="007D5F1E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Principle of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Adsorption Chromatography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involves competition of components of sample mixture 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active site on adsorbent. 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Partition Chromatography</w:t>
      </w:r>
      <w:proofErr w:type="gramStart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 Definition</w:t>
      </w:r>
      <w:proofErr w:type="gramEnd"/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: This form of </w:t>
      </w:r>
      <w:r w:rsidRPr="007D5F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chromatography</w:t>
      </w:r>
      <w:r w:rsidRPr="007D5F1E">
        <w:rPr>
          <w:rFonts w:ascii="Times New Roman" w:hAnsi="Times New Roman" w:cs="Times New Roman"/>
          <w:sz w:val="24"/>
          <w:szCs w:val="24"/>
          <w:shd w:val="clear" w:color="auto" w:fill="FFFFFF"/>
        </w:rPr>
        <w:t> is based on a thin film formed on the surface of a solid support by a liquid stationary phase.</w:t>
      </w:r>
    </w:p>
    <w:p w:rsidR="007D5F1E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eastAsia="Calibri" w:hAnsi="Times New Roman" w:cs="Times New Roman"/>
          <w:sz w:val="24"/>
          <w:szCs w:val="24"/>
        </w:rPr>
        <w:lastRenderedPageBreak/>
        <w:t>Water absorbed on cellulose constituting the paper serves as the stationary phase and organic solvent as moving phase.</w:t>
      </w:r>
    </w:p>
    <w:p w:rsidR="007D5F1E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eastAsia="Calibri" w:hAnsi="Times New Roman" w:cs="Times New Roman"/>
          <w:sz w:val="24"/>
          <w:szCs w:val="24"/>
          <w:lang w:val="en-US"/>
        </w:rPr>
        <w:t>The isotope could be lost as a result of a metabolic oxidation</w:t>
      </w:r>
    </w:p>
    <w:p w:rsidR="007D5F1E" w:rsidRPr="007D5F1E" w:rsidRDefault="007D5F1E" w:rsidP="007D5F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F1E">
        <w:rPr>
          <w:rFonts w:ascii="Times New Roman" w:hAnsi="Times New Roman" w:cs="Times New Roman"/>
          <w:sz w:val="24"/>
          <w:szCs w:val="24"/>
        </w:rPr>
        <w:t>A radioactive isotope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B98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3. </w:t>
      </w:r>
      <w:r w:rsidRPr="00B85332">
        <w:rPr>
          <w:rFonts w:ascii="Times New Roman" w:hAnsi="Times New Roman" w:cs="Times New Roman"/>
          <w:sz w:val="24"/>
          <w:szCs w:val="24"/>
        </w:rPr>
        <w:t>a.</w:t>
      </w:r>
      <w:r w:rsidRPr="00B85332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Fluorescence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the emission of light by a substance that has absorbed light or other electromagnetic radiation. A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fluorescence microscope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an optical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microscope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that uses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fluorescence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instead of, or in addition to, scattering, reflection, and attenuation or absorption, to study the properties of organic or inorganic substances.</w:t>
      </w:r>
    </w:p>
    <w:p w:rsidR="00671F3F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proofErr w:type="gram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. X-ray powder diffraction (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XRD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) is a rapid analytical technique primarily used for phase identification of a crystalline material and can provide information on unit cell dimensions. The analyzed material is finely ground, homogenized, and average bulk composition is determined.</w:t>
      </w:r>
    </w:p>
    <w:p w:rsidR="00671F3F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NMR spectroscopy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Spectroscopy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technique used by chemists and biochemists to investigate the properties of organic molecules, although it is applicable to any kind of sample that contains nuclei possessing spin. For example, the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NMR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can quantitatively analyze mixtures containing known compounds.</w:t>
      </w:r>
    </w:p>
    <w:p w:rsidR="00671F3F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d. The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hyperfine splitting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hfs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) is a special feature of ESR caused by the interaction of electron spins with the magnetic nuclei in the sample</w:t>
      </w:r>
    </w:p>
    <w:p w:rsidR="00671F3F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4.a</w:t>
      </w:r>
      <w:proofErr w:type="gram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Blotting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 technique by which a macromolecule such as DNA, RNA, or protein is resolved in a gel matrix, transferred to a solid support, and detected with a specific probe. These powerful techniques allow the researcher to identify and characterize specific molecules in a complex mixture of related molecules. Southern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blotting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 laboratory technique used to detect a specific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DNA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sequence in a blood or tissue sample.</w:t>
      </w:r>
    </w:p>
    <w:p w:rsidR="00671F3F" w:rsidRPr="00B85332" w:rsidRDefault="00671F3F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proofErr w:type="spellStart"/>
      <w:r w:rsidR="00B85332"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soelectric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focusing (IEF) is an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electrophoretic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separation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method which separates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amphoteric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molecules such as proteins and peptides according to their charge as defined by the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pK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values of proton-accepting sites within a molecule.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Southern blotting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 laboratory technique used to detect a specific DNA sequence in a blood or tissue sample. A restriction enzyme is used to cut a sample of DNA into fragments that are separated using gel electrophoresis. The DNA fragments are transferred out of the gel to the surface of a membrane.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d.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Agarose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 electrophoresis is a method of gel electrophoresis used in biochemistry, molecular biology, genetics, and clinical chemistry to separate a mixed population of macromolecules such as DNA or proteins in a matrix of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agarose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, one of the two main components of agar.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5. a. High Performance Liquid Chromatography (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HPLC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is a form of column chromatography that pumps a sample mixture or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analyte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solvent (known as the mobile phase) at high pressure through a column with chromatographic packing material (stationary phase).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b. Thin-layer chromatography is a chromatography technique used to separate non-volatile mixtures. Thin-layer chromatography is performed on a sheet of an inert substrate such as glass, plastic, or aluminium foil, which is coated with a thin layer of adsorbent material, usually silica gel, aluminium oxide, or cellulose</w:t>
      </w:r>
    </w:p>
    <w:p w:rsidR="00014185" w:rsidRPr="00B85332" w:rsidRDefault="00014185" w:rsidP="00B853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r w:rsidR="00B85332"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853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 is a precursory technique used in the purification of compounds based on their </w:t>
      </w:r>
      <w:proofErr w:type="spellStart"/>
      <w:r w:rsidRPr="00B85332">
        <w:rPr>
          <w:rFonts w:ascii="Times New Roman" w:eastAsia="Times New Roman" w:hAnsi="Times New Roman" w:cs="Times New Roman"/>
          <w:sz w:val="24"/>
          <w:szCs w:val="24"/>
          <w:lang w:eastAsia="en-IN"/>
        </w:rPr>
        <w:t>hydrophobicity</w:t>
      </w:r>
      <w:proofErr w:type="spellEnd"/>
      <w:r w:rsidRPr="00B853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polarity. In this </w:t>
      </w:r>
      <w:r w:rsidRPr="00B853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chromatography</w:t>
      </w:r>
      <w:r w:rsidRPr="00B85332">
        <w:rPr>
          <w:rFonts w:ascii="Times New Roman" w:eastAsia="Times New Roman" w:hAnsi="Times New Roman" w:cs="Times New Roman"/>
          <w:sz w:val="24"/>
          <w:szCs w:val="24"/>
          <w:lang w:eastAsia="en-IN"/>
        </w:rPr>
        <w:t> process, the molecule mixture is separated depending on its differentials partitioning between a stationary phase and a mobile phase.</w:t>
      </w:r>
    </w:p>
    <w:p w:rsidR="00014185" w:rsidRPr="00B85332" w:rsidRDefault="00014185" w:rsidP="00B85332">
      <w:pPr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</w:rPr>
        <w:t xml:space="preserve">d. 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The term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reversed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phase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describes the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chromatography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mode that is just the opposite of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normal phase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, namely the use of a polar mobile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phase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and a non-polar [hydrophobic] stationary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phase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6. </w:t>
      </w:r>
      <w:proofErr w:type="spellStart"/>
      <w:proofErr w:type="gramStart"/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a.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Solid</w:t>
      </w:r>
      <w:proofErr w:type="spellEnd"/>
      <w:proofErr w:type="gramEnd"/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and liquid scintillation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techniques are used for the detection of radio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labeled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isotopes in areas as diverse as biomedicine, ecology and industry. Detecting and counting alpha emitting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radionuclides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routine tasks in nuclear energy and environmental monitoring.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b. Always wear protective clothing (e.g. disposable gloves, lab coat, safety glasses) when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handling radioactive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materials. In addition to this standard equipment, the following</w:t>
      </w:r>
      <w:r w:rsidR="00B85332"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 also be used in this lab: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 in a fume hood if gas,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vapor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, dust, or aerosols can occur during the procedure.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c. A </w:t>
      </w:r>
      <w:r w:rsidRPr="00B85332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Geiger counter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an instrument used for detecting and measuring · It detects ionizing radiation.</w:t>
      </w:r>
    </w:p>
    <w:p w:rsidR="00014185" w:rsidRPr="00B85332" w:rsidRDefault="00014185" w:rsidP="00B853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proofErr w:type="gram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Quenching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is defined as the irreversible absorption of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decay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energy or photons during the energy transfer from the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decaying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particle to the photocathode. Chemical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quenching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 prevents the energy transfer from </w:t>
      </w:r>
      <w:r w:rsidRPr="00B853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decay</w:t>
      </w:r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particle to the </w:t>
      </w:r>
      <w:proofErr w:type="spellStart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scintillator</w:t>
      </w:r>
      <w:proofErr w:type="spellEnd"/>
      <w:r w:rsidRPr="00B853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14185" w:rsidRPr="00B85332" w:rsidSect="00F15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772"/>
    <w:multiLevelType w:val="hybridMultilevel"/>
    <w:tmpl w:val="370EA66E"/>
    <w:lvl w:ilvl="0" w:tplc="A5846B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B98"/>
    <w:rsid w:val="00014185"/>
    <w:rsid w:val="0022288A"/>
    <w:rsid w:val="002912E3"/>
    <w:rsid w:val="00646B98"/>
    <w:rsid w:val="00671F3F"/>
    <w:rsid w:val="007D5F1E"/>
    <w:rsid w:val="00B85332"/>
    <w:rsid w:val="00F1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2288A"/>
    <w:rPr>
      <w:i/>
      <w:iCs/>
    </w:rPr>
  </w:style>
  <w:style w:type="character" w:customStyle="1" w:styleId="acopre">
    <w:name w:val="acopre"/>
    <w:basedOn w:val="DefaultParagraphFont"/>
    <w:rsid w:val="00014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SHAKTI</dc:creator>
  <cp:lastModifiedBy>SHAKTI</cp:lastModifiedBy>
  <cp:revision>2</cp:revision>
  <dcterms:created xsi:type="dcterms:W3CDTF">2021-03-27T03:45:00Z</dcterms:created>
  <dcterms:modified xsi:type="dcterms:W3CDTF">2021-03-28T07:22:00Z</dcterms:modified>
</cp:coreProperties>
</file>